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80" w:rsidRDefault="00102C6C">
      <w:pPr>
        <w:rPr>
          <w:rFonts w:asciiTheme="majorHAnsi" w:hAnsiTheme="majorHAnsi" w:cstheme="majorHAnsi"/>
          <w:sz w:val="22"/>
          <w:szCs w:val="22"/>
          <w:u w:val="single"/>
        </w:rPr>
      </w:pPr>
      <w:r w:rsidRPr="00102C6C">
        <w:rPr>
          <w:rFonts w:asciiTheme="majorHAnsi" w:hAnsiTheme="majorHAnsi" w:cstheme="majorHAnsi"/>
          <w:sz w:val="22"/>
          <w:szCs w:val="22"/>
          <w:u w:val="single"/>
        </w:rPr>
        <w:t>Appointment update for patients and staff</w:t>
      </w:r>
    </w:p>
    <w:p w:rsidR="00102C6C" w:rsidRDefault="00102C6C">
      <w:pPr>
        <w:rPr>
          <w:rFonts w:asciiTheme="majorHAnsi" w:hAnsiTheme="majorHAnsi" w:cstheme="majorHAnsi"/>
          <w:sz w:val="22"/>
          <w:szCs w:val="22"/>
          <w:u w:val="single"/>
        </w:rPr>
      </w:pPr>
    </w:p>
    <w:p w:rsidR="00102C6C" w:rsidRPr="00102C6C" w:rsidRDefault="00102C6C" w:rsidP="00102C6C">
      <w:pPr>
        <w:jc w:val="center"/>
        <w:rPr>
          <w:rFonts w:asciiTheme="majorHAnsi" w:hAnsiTheme="majorHAnsi" w:cstheme="majorHAnsi"/>
          <w:sz w:val="22"/>
          <w:szCs w:val="22"/>
        </w:rPr>
      </w:pPr>
      <w:r w:rsidRPr="00102C6C">
        <w:rPr>
          <w:rFonts w:asciiTheme="majorHAnsi" w:hAnsiTheme="majorHAnsi" w:cstheme="majorHAnsi"/>
          <w:b/>
          <w:sz w:val="22"/>
          <w:szCs w:val="22"/>
        </w:rPr>
        <w:t>A month in numbers</w:t>
      </w:r>
      <w:r w:rsidRPr="00102C6C">
        <w:rPr>
          <w:rFonts w:asciiTheme="majorHAnsi" w:hAnsiTheme="majorHAnsi" w:cstheme="majorHAnsi"/>
          <w:noProof/>
          <w:sz w:val="22"/>
          <w:szCs w:val="22"/>
          <w:lang w:eastAsia="en-GB"/>
        </w:rPr>
        <w:t xml:space="preserve">     </w:t>
      </w:r>
      <w:r w:rsidRPr="00102C6C">
        <w:rPr>
          <w:rFonts w:asciiTheme="majorHAnsi" w:hAnsiTheme="majorHAnsi" w:cstheme="majorHAnsi"/>
          <w:noProof/>
          <w:sz w:val="22"/>
          <w:szCs w:val="22"/>
          <w:lang w:eastAsia="en-GB"/>
        </w:rPr>
        <w:drawing>
          <wp:inline distT="0" distB="0" distL="0" distR="0" wp14:anchorId="57303C2B" wp14:editId="708129D1">
            <wp:extent cx="1066800" cy="799070"/>
            <wp:effectExtent l="0" t="0" r="0" b="1270"/>
            <wp:docPr id="2" name="Picture 2" descr="C:\Users\Naomi.konu\AppData\Local\Microsoft\Windows\INetCache\Content.MSO\8B1B94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konu\AppData\Local\Microsoft\Windows\INetCache\Content.MSO\8B1B949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325" cy="812946"/>
                    </a:xfrm>
                    <a:prstGeom prst="rect">
                      <a:avLst/>
                    </a:prstGeom>
                    <a:noFill/>
                    <a:ln>
                      <a:noFill/>
                    </a:ln>
                  </pic:spPr>
                </pic:pic>
              </a:graphicData>
            </a:graphic>
          </wp:inline>
        </w:drawing>
      </w:r>
    </w:p>
    <w:p w:rsidR="00102C6C" w:rsidRPr="00102C6C" w:rsidRDefault="00102C6C" w:rsidP="00102C6C">
      <w:pPr>
        <w:jc w:val="center"/>
        <w:rPr>
          <w:rFonts w:asciiTheme="majorHAnsi" w:hAnsiTheme="majorHAnsi" w:cstheme="majorHAnsi"/>
          <w:sz w:val="22"/>
          <w:szCs w:val="22"/>
        </w:rPr>
      </w:pPr>
    </w:p>
    <w:p w:rsidR="00102C6C" w:rsidRPr="00102C6C" w:rsidRDefault="00102C6C" w:rsidP="00102C6C">
      <w:pPr>
        <w:jc w:val="center"/>
        <w:rPr>
          <w:rFonts w:asciiTheme="majorHAnsi" w:hAnsiTheme="majorHAnsi" w:cstheme="majorHAnsi"/>
          <w:sz w:val="22"/>
          <w:szCs w:val="22"/>
        </w:rPr>
      </w:pPr>
      <w:r w:rsidRPr="00102C6C">
        <w:rPr>
          <w:rFonts w:asciiTheme="majorHAnsi" w:hAnsiTheme="majorHAnsi" w:cstheme="majorHAnsi"/>
          <w:sz w:val="22"/>
          <w:szCs w:val="22"/>
        </w:rPr>
        <w:t>February 2024 The Hill surgery provided</w:t>
      </w:r>
      <w:r>
        <w:rPr>
          <w:rFonts w:asciiTheme="majorHAnsi" w:hAnsiTheme="majorHAnsi" w:cstheme="majorHAnsi"/>
          <w:sz w:val="22"/>
          <w:szCs w:val="22"/>
        </w:rPr>
        <w:t>:</w:t>
      </w:r>
    </w:p>
    <w:p w:rsidR="00102C6C" w:rsidRPr="00102C6C" w:rsidRDefault="00102C6C" w:rsidP="00102C6C">
      <w:pPr>
        <w:jc w:val="center"/>
        <w:rPr>
          <w:rFonts w:asciiTheme="majorHAnsi" w:hAnsiTheme="majorHAnsi" w:cstheme="majorHAnsi"/>
          <w:sz w:val="22"/>
          <w:szCs w:val="22"/>
        </w:rPr>
      </w:pPr>
    </w:p>
    <w:p w:rsidR="00102C6C" w:rsidRPr="00102C6C" w:rsidRDefault="00102C6C" w:rsidP="00102C6C">
      <w:pPr>
        <w:pStyle w:val="ListParagraph"/>
        <w:numPr>
          <w:ilvl w:val="0"/>
          <w:numId w:val="1"/>
        </w:numPr>
        <w:jc w:val="center"/>
        <w:rPr>
          <w:rFonts w:asciiTheme="majorHAnsi" w:hAnsiTheme="majorHAnsi" w:cstheme="majorHAnsi"/>
          <w:sz w:val="22"/>
          <w:szCs w:val="22"/>
        </w:rPr>
      </w:pPr>
      <w:r w:rsidRPr="00102C6C">
        <w:rPr>
          <w:rFonts w:asciiTheme="majorHAnsi" w:hAnsiTheme="majorHAnsi" w:cstheme="majorHAnsi"/>
          <w:b/>
          <w:sz w:val="22"/>
          <w:szCs w:val="22"/>
        </w:rPr>
        <w:t>15,429</w:t>
      </w:r>
      <w:r w:rsidRPr="00102C6C">
        <w:rPr>
          <w:rFonts w:asciiTheme="majorHAnsi" w:hAnsiTheme="majorHAnsi" w:cstheme="majorHAnsi"/>
          <w:sz w:val="22"/>
          <w:szCs w:val="22"/>
        </w:rPr>
        <w:t xml:space="preserve"> appointments for the month of </w:t>
      </w:r>
      <w:r w:rsidRPr="00102C6C">
        <w:rPr>
          <w:rFonts w:asciiTheme="majorHAnsi" w:hAnsiTheme="majorHAnsi" w:cstheme="majorHAnsi"/>
          <w:b/>
          <w:sz w:val="22"/>
          <w:szCs w:val="22"/>
        </w:rPr>
        <w:t>February 24</w:t>
      </w:r>
    </w:p>
    <w:p w:rsidR="00102C6C" w:rsidRPr="00102C6C" w:rsidRDefault="00102C6C" w:rsidP="00102C6C">
      <w:pPr>
        <w:pStyle w:val="ListParagraph"/>
        <w:numPr>
          <w:ilvl w:val="0"/>
          <w:numId w:val="1"/>
        </w:numPr>
        <w:jc w:val="center"/>
        <w:rPr>
          <w:rFonts w:asciiTheme="majorHAnsi" w:hAnsiTheme="majorHAnsi" w:cstheme="majorHAnsi"/>
          <w:sz w:val="22"/>
          <w:szCs w:val="22"/>
        </w:rPr>
      </w:pPr>
      <w:r w:rsidRPr="00102C6C">
        <w:rPr>
          <w:rFonts w:asciiTheme="majorHAnsi" w:hAnsiTheme="majorHAnsi" w:cstheme="majorHAnsi"/>
          <w:sz w:val="22"/>
          <w:szCs w:val="22"/>
        </w:rPr>
        <w:t>10000 of these appointments were delivered on the same day</w:t>
      </w:r>
    </w:p>
    <w:p w:rsidR="00102C6C" w:rsidRPr="00102C6C" w:rsidRDefault="00102C6C" w:rsidP="00102C6C">
      <w:pPr>
        <w:pStyle w:val="ListParagraph"/>
        <w:numPr>
          <w:ilvl w:val="0"/>
          <w:numId w:val="1"/>
        </w:numPr>
        <w:jc w:val="center"/>
        <w:rPr>
          <w:rFonts w:asciiTheme="majorHAnsi" w:hAnsiTheme="majorHAnsi" w:cstheme="majorHAnsi"/>
          <w:sz w:val="22"/>
          <w:szCs w:val="22"/>
        </w:rPr>
      </w:pPr>
      <w:r w:rsidRPr="00102C6C">
        <w:rPr>
          <w:rFonts w:asciiTheme="majorHAnsi" w:hAnsiTheme="majorHAnsi" w:cstheme="majorHAnsi"/>
          <w:sz w:val="22"/>
          <w:szCs w:val="22"/>
        </w:rPr>
        <w:t>2401 appointments were with a GP.</w:t>
      </w:r>
    </w:p>
    <w:p w:rsidR="00102C6C" w:rsidRPr="00102C6C" w:rsidRDefault="00102C6C" w:rsidP="00102C6C">
      <w:pPr>
        <w:jc w:val="center"/>
        <w:rPr>
          <w:rFonts w:asciiTheme="majorHAnsi" w:hAnsiTheme="majorHAnsi" w:cstheme="majorHAnsi"/>
          <w:sz w:val="22"/>
          <w:szCs w:val="22"/>
        </w:rPr>
      </w:pPr>
    </w:p>
    <w:p w:rsidR="002B17AD" w:rsidRDefault="00102C6C" w:rsidP="00102C6C">
      <w:pPr>
        <w:jc w:val="center"/>
        <w:rPr>
          <w:rFonts w:asciiTheme="majorHAnsi" w:hAnsiTheme="majorHAnsi" w:cstheme="majorHAnsi"/>
          <w:sz w:val="22"/>
          <w:szCs w:val="22"/>
        </w:rPr>
      </w:pPr>
      <w:r w:rsidRPr="00102C6C">
        <w:rPr>
          <w:rFonts w:asciiTheme="majorHAnsi" w:hAnsiTheme="majorHAnsi" w:cstheme="majorHAnsi"/>
          <w:sz w:val="22"/>
          <w:szCs w:val="22"/>
        </w:rPr>
        <w:t xml:space="preserve">We have a practice population of </w:t>
      </w:r>
      <w:r w:rsidRPr="00102C6C">
        <w:rPr>
          <w:rFonts w:asciiTheme="majorHAnsi" w:hAnsiTheme="majorHAnsi" w:cstheme="majorHAnsi"/>
          <w:b/>
          <w:sz w:val="22"/>
          <w:szCs w:val="22"/>
        </w:rPr>
        <w:t>20,973</w:t>
      </w:r>
      <w:r w:rsidRPr="00102C6C">
        <w:rPr>
          <w:rFonts w:asciiTheme="majorHAnsi" w:hAnsiTheme="majorHAnsi" w:cstheme="majorHAnsi"/>
          <w:sz w:val="22"/>
          <w:szCs w:val="22"/>
        </w:rPr>
        <w:t xml:space="preserve"> patients</w:t>
      </w:r>
    </w:p>
    <w:p w:rsidR="00102C6C" w:rsidRDefault="002B17AD" w:rsidP="00102C6C">
      <w:pPr>
        <w:jc w:val="center"/>
        <w:rPr>
          <w:rFonts w:asciiTheme="majorHAnsi" w:hAnsiTheme="majorHAnsi" w:cstheme="majorHAnsi"/>
          <w:sz w:val="22"/>
          <w:szCs w:val="22"/>
        </w:rPr>
      </w:pPr>
      <w:r>
        <w:rPr>
          <w:rFonts w:asciiTheme="majorHAnsi" w:hAnsiTheme="majorHAnsi" w:cstheme="majorHAnsi"/>
          <w:sz w:val="22"/>
          <w:szCs w:val="22"/>
        </w:rPr>
        <w:t xml:space="preserve"> </w:t>
      </w:r>
    </w:p>
    <w:p w:rsidR="00102C6C" w:rsidRDefault="002B17AD">
      <w:pPr>
        <w:rPr>
          <w:rFonts w:asciiTheme="majorHAnsi" w:hAnsiTheme="majorHAnsi" w:cstheme="majorHAnsi"/>
          <w:sz w:val="22"/>
          <w:szCs w:val="22"/>
        </w:rPr>
      </w:pPr>
      <w:r>
        <w:rPr>
          <w:rFonts w:asciiTheme="majorHAnsi" w:hAnsiTheme="majorHAnsi" w:cstheme="majorHAnsi"/>
          <w:sz w:val="22"/>
          <w:szCs w:val="22"/>
        </w:rPr>
        <w:t xml:space="preserve">Performance </w:t>
      </w:r>
      <w:bookmarkStart w:id="0" w:name="_GoBack"/>
      <w:bookmarkEnd w:id="0"/>
      <w:r>
        <w:rPr>
          <w:rFonts w:asciiTheme="majorHAnsi" w:hAnsiTheme="majorHAnsi" w:cstheme="majorHAnsi"/>
          <w:sz w:val="22"/>
          <w:szCs w:val="22"/>
        </w:rPr>
        <w:t>comparison with other similar practices in Hastings:</w:t>
      </w:r>
    </w:p>
    <w:p w:rsidR="00102C6C" w:rsidRDefault="00102C6C">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999"/>
        <w:gridCol w:w="3021"/>
        <w:gridCol w:w="2996"/>
      </w:tblGrid>
      <w:tr w:rsidR="002B17AD" w:rsidTr="00102C6C">
        <w:tc>
          <w:tcPr>
            <w:tcW w:w="3080" w:type="dxa"/>
          </w:tcPr>
          <w:p w:rsidR="00102C6C" w:rsidRPr="00102C6C" w:rsidRDefault="00102C6C">
            <w:pPr>
              <w:rPr>
                <w:rFonts w:asciiTheme="majorHAnsi" w:hAnsiTheme="majorHAnsi" w:cstheme="majorHAnsi"/>
                <w:color w:val="4BACC6" w:themeColor="accent5"/>
                <w:sz w:val="22"/>
                <w:szCs w:val="22"/>
              </w:rPr>
            </w:pPr>
            <w:r w:rsidRPr="00102C6C">
              <w:rPr>
                <w:rFonts w:asciiTheme="majorHAnsi" w:hAnsiTheme="majorHAnsi" w:cstheme="majorHAnsi"/>
                <w:color w:val="4BACC6" w:themeColor="accent5"/>
                <w:sz w:val="22"/>
                <w:szCs w:val="22"/>
              </w:rPr>
              <w:t>GP surgery</w:t>
            </w:r>
          </w:p>
        </w:tc>
        <w:tc>
          <w:tcPr>
            <w:tcW w:w="3081" w:type="dxa"/>
          </w:tcPr>
          <w:p w:rsidR="00102C6C" w:rsidRPr="00102C6C" w:rsidRDefault="00102C6C">
            <w:pPr>
              <w:rPr>
                <w:rFonts w:asciiTheme="majorHAnsi" w:hAnsiTheme="majorHAnsi" w:cstheme="majorHAnsi"/>
                <w:color w:val="4BACC6" w:themeColor="accent5"/>
                <w:sz w:val="22"/>
                <w:szCs w:val="22"/>
              </w:rPr>
            </w:pPr>
            <w:r w:rsidRPr="00102C6C">
              <w:rPr>
                <w:rFonts w:asciiTheme="majorHAnsi" w:hAnsiTheme="majorHAnsi" w:cstheme="majorHAnsi"/>
                <w:color w:val="4BACC6" w:themeColor="accent5"/>
                <w:sz w:val="22"/>
                <w:szCs w:val="22"/>
              </w:rPr>
              <w:t>Appointments in Feb24</w:t>
            </w:r>
            <w:r w:rsidR="002B17AD">
              <w:rPr>
                <w:rFonts w:asciiTheme="majorHAnsi" w:hAnsiTheme="majorHAnsi" w:cstheme="majorHAnsi"/>
                <w:color w:val="4BACC6" w:themeColor="accent5"/>
                <w:sz w:val="22"/>
                <w:szCs w:val="22"/>
              </w:rPr>
              <w:t>, per 1,000 patients</w:t>
            </w:r>
          </w:p>
        </w:tc>
        <w:tc>
          <w:tcPr>
            <w:tcW w:w="3081" w:type="dxa"/>
          </w:tcPr>
          <w:p w:rsidR="00102C6C" w:rsidRPr="00102C6C" w:rsidRDefault="00102C6C" w:rsidP="002B17AD">
            <w:pPr>
              <w:rPr>
                <w:rFonts w:asciiTheme="majorHAnsi" w:hAnsiTheme="majorHAnsi" w:cstheme="majorHAnsi"/>
                <w:color w:val="4BACC6" w:themeColor="accent5"/>
                <w:sz w:val="22"/>
                <w:szCs w:val="22"/>
              </w:rPr>
            </w:pPr>
            <w:r w:rsidRPr="00102C6C">
              <w:rPr>
                <w:rFonts w:asciiTheme="majorHAnsi" w:hAnsiTheme="majorHAnsi" w:cstheme="majorHAnsi"/>
                <w:color w:val="4BACC6" w:themeColor="accent5"/>
                <w:sz w:val="22"/>
                <w:szCs w:val="22"/>
              </w:rPr>
              <w:t>P</w:t>
            </w:r>
            <w:r w:rsidR="002B17AD">
              <w:rPr>
                <w:rFonts w:asciiTheme="majorHAnsi" w:hAnsiTheme="majorHAnsi" w:cstheme="majorHAnsi"/>
                <w:color w:val="4BACC6" w:themeColor="accent5"/>
                <w:sz w:val="22"/>
                <w:szCs w:val="22"/>
              </w:rPr>
              <w:t>atient list total</w:t>
            </w:r>
          </w:p>
        </w:tc>
      </w:tr>
      <w:tr w:rsidR="002B17AD" w:rsidTr="00102C6C">
        <w:tc>
          <w:tcPr>
            <w:tcW w:w="3080" w:type="dxa"/>
          </w:tcPr>
          <w:p w:rsidR="00102C6C" w:rsidRDefault="00102C6C">
            <w:pPr>
              <w:rPr>
                <w:rFonts w:asciiTheme="majorHAnsi" w:hAnsiTheme="majorHAnsi" w:cstheme="majorHAnsi"/>
                <w:sz w:val="22"/>
                <w:szCs w:val="22"/>
              </w:rPr>
            </w:pPr>
            <w:r>
              <w:rPr>
                <w:rFonts w:asciiTheme="majorHAnsi" w:hAnsiTheme="majorHAnsi" w:cstheme="majorHAnsi"/>
                <w:sz w:val="22"/>
                <w:szCs w:val="22"/>
              </w:rPr>
              <w:t>Hill surgery</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b/>
                <w:sz w:val="22"/>
                <w:szCs w:val="22"/>
              </w:rPr>
              <w:t>735</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20,973</w:t>
            </w:r>
          </w:p>
        </w:tc>
      </w:tr>
      <w:tr w:rsidR="002B17AD" w:rsidTr="00102C6C">
        <w:tc>
          <w:tcPr>
            <w:tcW w:w="3080"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Practice A</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 xml:space="preserve">441 </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See GPAD for more details</w:t>
            </w:r>
          </w:p>
        </w:tc>
      </w:tr>
      <w:tr w:rsidR="002B17AD" w:rsidTr="00102C6C">
        <w:tc>
          <w:tcPr>
            <w:tcW w:w="3080"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Practice B</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514</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See GPAD for more details</w:t>
            </w:r>
          </w:p>
        </w:tc>
      </w:tr>
      <w:tr w:rsidR="002B17AD" w:rsidTr="00102C6C">
        <w:tc>
          <w:tcPr>
            <w:tcW w:w="3080"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Practice C</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561</w:t>
            </w:r>
          </w:p>
        </w:tc>
        <w:tc>
          <w:tcPr>
            <w:tcW w:w="3081" w:type="dxa"/>
          </w:tcPr>
          <w:p w:rsidR="00102C6C" w:rsidRDefault="002B17AD">
            <w:pPr>
              <w:rPr>
                <w:rFonts w:asciiTheme="majorHAnsi" w:hAnsiTheme="majorHAnsi" w:cstheme="majorHAnsi"/>
                <w:sz w:val="22"/>
                <w:szCs w:val="22"/>
              </w:rPr>
            </w:pPr>
            <w:r>
              <w:rPr>
                <w:rFonts w:asciiTheme="majorHAnsi" w:hAnsiTheme="majorHAnsi" w:cstheme="majorHAnsi"/>
                <w:sz w:val="22"/>
                <w:szCs w:val="22"/>
              </w:rPr>
              <w:t>See GPAD for more details</w:t>
            </w:r>
          </w:p>
        </w:tc>
      </w:tr>
    </w:tbl>
    <w:p w:rsidR="00102C6C" w:rsidRPr="00102C6C" w:rsidRDefault="00102C6C">
      <w:pPr>
        <w:rPr>
          <w:rFonts w:asciiTheme="majorHAnsi" w:hAnsiTheme="majorHAnsi" w:cstheme="majorHAnsi"/>
          <w:sz w:val="22"/>
          <w:szCs w:val="22"/>
        </w:rPr>
      </w:pPr>
    </w:p>
    <w:p w:rsidR="00102C6C" w:rsidRPr="00102C6C" w:rsidRDefault="006349E3">
      <w:pPr>
        <w:rPr>
          <w:rFonts w:asciiTheme="majorHAnsi" w:hAnsiTheme="majorHAnsi" w:cstheme="majorHAnsi"/>
          <w:sz w:val="22"/>
          <w:szCs w:val="22"/>
        </w:rPr>
      </w:pPr>
      <w:hyperlink r:id="rId6" w:history="1">
        <w:r w:rsidR="00102C6C" w:rsidRPr="00102C6C">
          <w:rPr>
            <w:rStyle w:val="Hyperlink"/>
            <w:rFonts w:asciiTheme="majorHAnsi" w:hAnsiTheme="majorHAnsi" w:cstheme="majorHAnsi"/>
            <w:sz w:val="22"/>
            <w:szCs w:val="22"/>
          </w:rPr>
          <w:t>GPAD_Annex1_Practice_Level_Breakdown_Summary_February_2024.xlsx (live.com)</w:t>
        </w:r>
      </w:hyperlink>
    </w:p>
    <w:p w:rsidR="00102C6C" w:rsidRPr="00102C6C" w:rsidRDefault="00102C6C">
      <w:pPr>
        <w:rPr>
          <w:rFonts w:asciiTheme="majorHAnsi" w:hAnsiTheme="majorHAnsi" w:cstheme="majorHAnsi"/>
          <w:sz w:val="22"/>
          <w:szCs w:val="22"/>
        </w:rPr>
      </w:pPr>
    </w:p>
    <w:p w:rsidR="00102C6C" w:rsidRPr="00102C6C" w:rsidRDefault="00102C6C">
      <w:pPr>
        <w:rPr>
          <w:rFonts w:asciiTheme="majorHAnsi" w:hAnsiTheme="majorHAnsi" w:cstheme="majorHAnsi"/>
          <w:sz w:val="22"/>
          <w:szCs w:val="22"/>
        </w:rPr>
      </w:pPr>
    </w:p>
    <w:p w:rsidR="00102C6C" w:rsidRPr="00102C6C" w:rsidRDefault="00102C6C">
      <w:pPr>
        <w:rPr>
          <w:rFonts w:asciiTheme="majorHAnsi" w:hAnsiTheme="majorHAnsi" w:cstheme="majorHAnsi"/>
          <w:sz w:val="22"/>
          <w:szCs w:val="22"/>
          <w:u w:val="single"/>
        </w:rPr>
      </w:pPr>
      <w:r w:rsidRPr="00102C6C">
        <w:rPr>
          <w:rFonts w:asciiTheme="majorHAnsi" w:hAnsiTheme="majorHAnsi" w:cstheme="majorHAnsi"/>
          <w:sz w:val="22"/>
          <w:szCs w:val="22"/>
          <w:u w:val="single"/>
        </w:rPr>
        <w:t>Safe working in General practice</w:t>
      </w:r>
    </w:p>
    <w:p w:rsidR="00102C6C" w:rsidRPr="00102C6C" w:rsidRDefault="00102C6C">
      <w:pPr>
        <w:rPr>
          <w:rFonts w:asciiTheme="majorHAnsi" w:hAnsiTheme="majorHAnsi" w:cstheme="majorHAnsi"/>
          <w:sz w:val="22"/>
          <w:szCs w:val="22"/>
        </w:rPr>
      </w:pPr>
    </w:p>
    <w:p w:rsidR="00102C6C" w:rsidRPr="00102C6C" w:rsidRDefault="00102C6C">
      <w:pPr>
        <w:rPr>
          <w:rFonts w:asciiTheme="majorHAnsi" w:hAnsiTheme="majorHAnsi" w:cstheme="majorHAnsi"/>
          <w:sz w:val="22"/>
          <w:szCs w:val="22"/>
        </w:rPr>
      </w:pPr>
      <w:r w:rsidRPr="00102C6C">
        <w:rPr>
          <w:rFonts w:asciiTheme="majorHAnsi" w:hAnsiTheme="majorHAnsi" w:cstheme="majorHAnsi"/>
          <w:sz w:val="22"/>
          <w:szCs w:val="22"/>
        </w:rPr>
        <w:t>You may have received a message saying ‘we have reached our safe working capacity today’ this is because there are limits to the number of patients that healthcare workers can safely see in a day. The British medical Association (BMA) have recommend that this is not more than 25 patient contacts per day.</w:t>
      </w:r>
    </w:p>
    <w:p w:rsidR="00102C6C" w:rsidRPr="00102C6C" w:rsidRDefault="00102C6C">
      <w:pPr>
        <w:rPr>
          <w:rFonts w:asciiTheme="majorHAnsi" w:hAnsiTheme="majorHAnsi" w:cstheme="majorHAnsi"/>
          <w:sz w:val="22"/>
          <w:szCs w:val="22"/>
        </w:rPr>
      </w:pPr>
    </w:p>
    <w:p w:rsidR="00102C6C" w:rsidRPr="00102C6C" w:rsidRDefault="00102C6C">
      <w:pPr>
        <w:rPr>
          <w:rFonts w:asciiTheme="majorHAnsi" w:hAnsiTheme="majorHAnsi" w:cstheme="majorHAnsi"/>
          <w:sz w:val="22"/>
          <w:szCs w:val="22"/>
          <w:u w:val="single"/>
        </w:rPr>
      </w:pPr>
      <w:r w:rsidRPr="00102C6C">
        <w:rPr>
          <w:rFonts w:asciiTheme="majorHAnsi" w:hAnsiTheme="majorHAnsi" w:cstheme="majorHAnsi"/>
          <w:sz w:val="22"/>
          <w:szCs w:val="22"/>
          <w:u w:val="single"/>
        </w:rPr>
        <w:t>According to the BMA</w:t>
      </w:r>
    </w:p>
    <w:p w:rsidR="00102C6C" w:rsidRPr="00102C6C" w:rsidRDefault="00102C6C">
      <w:pPr>
        <w:rPr>
          <w:rFonts w:asciiTheme="majorHAnsi" w:hAnsiTheme="majorHAnsi" w:cstheme="majorHAnsi"/>
          <w:sz w:val="22"/>
          <w:szCs w:val="22"/>
        </w:rPr>
      </w:pPr>
    </w:p>
    <w:p w:rsidR="00102C6C" w:rsidRPr="00102C6C" w:rsidRDefault="00102C6C">
      <w:pPr>
        <w:rPr>
          <w:rFonts w:asciiTheme="majorHAnsi" w:hAnsiTheme="majorHAnsi" w:cstheme="majorHAnsi"/>
          <w:color w:val="111111"/>
          <w:spacing w:val="6"/>
          <w:sz w:val="22"/>
          <w:szCs w:val="22"/>
          <w:shd w:val="clear" w:color="auto" w:fill="FFFFFF"/>
        </w:rPr>
      </w:pPr>
      <w:r w:rsidRPr="00102C6C">
        <w:rPr>
          <w:rFonts w:asciiTheme="majorHAnsi" w:hAnsiTheme="majorHAnsi" w:cstheme="majorHAnsi"/>
          <w:color w:val="111111"/>
          <w:spacing w:val="6"/>
          <w:sz w:val="22"/>
          <w:szCs w:val="22"/>
          <w:shd w:val="clear" w:color="auto" w:fill="FFFFFF"/>
        </w:rPr>
        <w:t xml:space="preserve">‘General practice is in crisis. </w:t>
      </w:r>
      <w:r w:rsidRPr="00102C6C">
        <w:rPr>
          <w:rFonts w:asciiTheme="majorHAnsi" w:hAnsiTheme="majorHAnsi" w:cstheme="majorHAnsi"/>
          <w:b/>
          <w:color w:val="111111"/>
          <w:spacing w:val="6"/>
          <w:sz w:val="22"/>
          <w:szCs w:val="22"/>
          <w:shd w:val="clear" w:color="auto" w:fill="FFFFFF"/>
        </w:rPr>
        <w:t>GPs are faced with unmanageable workloads coupled with a rapidly shrinking and exhausted workforce</w:t>
      </w:r>
      <w:r w:rsidRPr="00102C6C">
        <w:rPr>
          <w:rFonts w:asciiTheme="majorHAnsi" w:hAnsiTheme="majorHAnsi" w:cstheme="majorHAnsi"/>
          <w:color w:val="111111"/>
          <w:spacing w:val="6"/>
          <w:sz w:val="22"/>
          <w:szCs w:val="22"/>
          <w:shd w:val="clear" w:color="auto" w:fill="FFFFFF"/>
        </w:rPr>
        <w:t>. The Covid-19 pandemic has generated a vast backlog of care.’</w:t>
      </w: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102C6C">
      <w:pPr>
        <w:rPr>
          <w:rFonts w:asciiTheme="majorHAnsi" w:hAnsiTheme="majorHAnsi" w:cstheme="majorHAnsi"/>
          <w:color w:val="111111"/>
          <w:spacing w:val="6"/>
          <w:sz w:val="22"/>
          <w:szCs w:val="22"/>
          <w:shd w:val="clear" w:color="auto" w:fill="FFFFFF"/>
        </w:rPr>
      </w:pPr>
      <w:r w:rsidRPr="00102C6C">
        <w:rPr>
          <w:rFonts w:asciiTheme="majorHAnsi" w:hAnsiTheme="majorHAnsi" w:cstheme="majorHAnsi"/>
          <w:color w:val="111111"/>
          <w:spacing w:val="6"/>
          <w:sz w:val="22"/>
          <w:szCs w:val="22"/>
          <w:shd w:val="clear" w:color="auto" w:fill="FFFFFF"/>
        </w:rPr>
        <w:t xml:space="preserve">General practice is providing more appointments than ever with less staff to do this. </w:t>
      </w: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102C6C">
      <w:pPr>
        <w:rPr>
          <w:rFonts w:asciiTheme="majorHAnsi" w:hAnsiTheme="majorHAnsi" w:cstheme="majorHAnsi"/>
          <w:color w:val="111111"/>
          <w:spacing w:val="6"/>
          <w:sz w:val="22"/>
          <w:szCs w:val="22"/>
          <w:shd w:val="clear" w:color="auto" w:fill="FFFFFF"/>
        </w:rPr>
      </w:pPr>
      <w:r w:rsidRPr="00102C6C">
        <w:rPr>
          <w:rFonts w:asciiTheme="majorHAnsi" w:hAnsiTheme="majorHAnsi" w:cstheme="majorHAnsi"/>
          <w:color w:val="111111"/>
          <w:spacing w:val="6"/>
          <w:sz w:val="22"/>
          <w:szCs w:val="22"/>
          <w:shd w:val="clear" w:color="auto" w:fill="FFFFFF"/>
        </w:rPr>
        <w:t xml:space="preserve">The BMA have advised that we move to a ‘waiting list’ system for appointments as </w:t>
      </w:r>
      <w:r w:rsidRPr="00102C6C">
        <w:rPr>
          <w:rFonts w:asciiTheme="majorHAnsi" w:hAnsiTheme="majorHAnsi" w:cstheme="majorHAnsi"/>
          <w:b/>
          <w:color w:val="111111"/>
          <w:spacing w:val="6"/>
          <w:sz w:val="22"/>
          <w:szCs w:val="22"/>
          <w:shd w:val="clear" w:color="auto" w:fill="FFFFFF"/>
        </w:rPr>
        <w:t>demand currently greatly outstrips capacity</w:t>
      </w:r>
      <w:r w:rsidRPr="00102C6C">
        <w:rPr>
          <w:rFonts w:asciiTheme="majorHAnsi" w:hAnsiTheme="majorHAnsi" w:cstheme="majorHAnsi"/>
          <w:color w:val="111111"/>
          <w:spacing w:val="6"/>
          <w:sz w:val="22"/>
          <w:szCs w:val="22"/>
          <w:shd w:val="clear" w:color="auto" w:fill="FFFFFF"/>
        </w:rPr>
        <w:t>.</w:t>
      </w:r>
      <w:r w:rsidRPr="00102C6C">
        <w:rPr>
          <w:rFonts w:asciiTheme="majorHAnsi" w:hAnsiTheme="majorHAnsi" w:cstheme="majorHAnsi"/>
          <w:color w:val="111111"/>
          <w:spacing w:val="6"/>
          <w:sz w:val="22"/>
          <w:szCs w:val="22"/>
        </w:rPr>
        <w:br/>
      </w:r>
      <w:r w:rsidRPr="00102C6C">
        <w:rPr>
          <w:rFonts w:asciiTheme="majorHAnsi" w:hAnsiTheme="majorHAnsi" w:cstheme="majorHAnsi"/>
          <w:color w:val="111111"/>
          <w:spacing w:val="6"/>
          <w:sz w:val="22"/>
          <w:szCs w:val="22"/>
        </w:rPr>
        <w:br/>
      </w:r>
      <w:r w:rsidRPr="00102C6C">
        <w:rPr>
          <w:rFonts w:asciiTheme="majorHAnsi" w:hAnsiTheme="majorHAnsi" w:cstheme="majorHAnsi"/>
          <w:color w:val="111111"/>
          <w:spacing w:val="6"/>
          <w:sz w:val="22"/>
          <w:szCs w:val="22"/>
          <w:shd w:val="clear" w:color="auto" w:fill="FFFFFF"/>
        </w:rPr>
        <w:t>There has been pressure on GP practices to provide near immediate assessment and management of all patient problems regardless of actual clinical urgency. This is impossible to maintain and not required by the General Medical Services contract.</w:t>
      </w: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102C6C">
      <w:pPr>
        <w:rPr>
          <w:rFonts w:asciiTheme="majorHAnsi" w:hAnsiTheme="majorHAnsi" w:cstheme="majorHAnsi"/>
          <w:color w:val="111111"/>
          <w:spacing w:val="6"/>
          <w:sz w:val="22"/>
          <w:szCs w:val="22"/>
          <w:shd w:val="clear" w:color="auto" w:fill="FFFFFF"/>
        </w:rPr>
      </w:pPr>
      <w:r w:rsidRPr="00102C6C">
        <w:rPr>
          <w:rFonts w:asciiTheme="majorHAnsi" w:hAnsiTheme="majorHAnsi" w:cstheme="majorHAnsi"/>
          <w:color w:val="111111"/>
          <w:spacing w:val="6"/>
          <w:sz w:val="22"/>
          <w:szCs w:val="22"/>
          <w:shd w:val="clear" w:color="auto" w:fill="FFFFFF"/>
        </w:rPr>
        <w:t>We would like to reassure you that we do look at clinical need on the day in order to prioritise the care that we give and offer appointments accordingly. We understand that it is frustrating if you are unable to get an appo</w:t>
      </w:r>
      <w:r>
        <w:rPr>
          <w:rFonts w:asciiTheme="majorHAnsi" w:hAnsiTheme="majorHAnsi" w:cstheme="majorHAnsi"/>
          <w:color w:val="111111"/>
          <w:spacing w:val="6"/>
          <w:sz w:val="22"/>
          <w:szCs w:val="22"/>
          <w:shd w:val="clear" w:color="auto" w:fill="FFFFFF"/>
        </w:rPr>
        <w:t>intment that you have requested</w:t>
      </w:r>
      <w:r w:rsidRPr="00102C6C">
        <w:rPr>
          <w:rFonts w:asciiTheme="majorHAnsi" w:hAnsiTheme="majorHAnsi" w:cstheme="majorHAnsi"/>
          <w:color w:val="111111"/>
          <w:spacing w:val="6"/>
          <w:sz w:val="22"/>
          <w:szCs w:val="22"/>
          <w:shd w:val="clear" w:color="auto" w:fill="FFFFFF"/>
        </w:rPr>
        <w:t xml:space="preserve"> however</w:t>
      </w:r>
      <w:r>
        <w:rPr>
          <w:rFonts w:asciiTheme="majorHAnsi" w:hAnsiTheme="majorHAnsi" w:cstheme="majorHAnsi"/>
          <w:color w:val="111111"/>
          <w:spacing w:val="6"/>
          <w:sz w:val="22"/>
          <w:szCs w:val="22"/>
          <w:shd w:val="clear" w:color="auto" w:fill="FFFFFF"/>
        </w:rPr>
        <w:t>,</w:t>
      </w:r>
      <w:r w:rsidRPr="00102C6C">
        <w:rPr>
          <w:rFonts w:asciiTheme="majorHAnsi" w:hAnsiTheme="majorHAnsi" w:cstheme="majorHAnsi"/>
          <w:color w:val="111111"/>
          <w:spacing w:val="6"/>
          <w:sz w:val="22"/>
          <w:szCs w:val="22"/>
          <w:shd w:val="clear" w:color="auto" w:fill="FFFFFF"/>
        </w:rPr>
        <w:t xml:space="preserve"> th</w:t>
      </w:r>
      <w:r>
        <w:rPr>
          <w:rFonts w:asciiTheme="majorHAnsi" w:hAnsiTheme="majorHAnsi" w:cstheme="majorHAnsi"/>
          <w:color w:val="111111"/>
          <w:spacing w:val="6"/>
          <w:sz w:val="22"/>
          <w:szCs w:val="22"/>
          <w:shd w:val="clear" w:color="auto" w:fill="FFFFFF"/>
        </w:rPr>
        <w:t>is</w:t>
      </w:r>
      <w:r w:rsidRPr="00102C6C">
        <w:rPr>
          <w:rFonts w:asciiTheme="majorHAnsi" w:hAnsiTheme="majorHAnsi" w:cstheme="majorHAnsi"/>
          <w:color w:val="111111"/>
          <w:spacing w:val="6"/>
          <w:sz w:val="22"/>
          <w:szCs w:val="22"/>
          <w:shd w:val="clear" w:color="auto" w:fill="FFFFFF"/>
        </w:rPr>
        <w:t xml:space="preserve"> problem is a nationwide problem.</w:t>
      </w: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102C6C" w:rsidP="00102C6C">
      <w:pPr>
        <w:rPr>
          <w:rFonts w:asciiTheme="majorHAnsi" w:hAnsiTheme="majorHAnsi" w:cstheme="majorHAnsi"/>
          <w:sz w:val="22"/>
          <w:szCs w:val="22"/>
        </w:rPr>
      </w:pPr>
      <w:r w:rsidRPr="00102C6C">
        <w:rPr>
          <w:rFonts w:asciiTheme="majorHAnsi" w:hAnsiTheme="majorHAnsi" w:cstheme="majorHAnsi"/>
          <w:color w:val="111111"/>
          <w:spacing w:val="6"/>
          <w:sz w:val="22"/>
          <w:szCs w:val="22"/>
          <w:shd w:val="clear" w:color="auto" w:fill="FFFFFF"/>
        </w:rPr>
        <w:lastRenderedPageBreak/>
        <w:t xml:space="preserve">If you would like to support your practice </w:t>
      </w:r>
      <w:r>
        <w:rPr>
          <w:rFonts w:asciiTheme="majorHAnsi" w:hAnsiTheme="majorHAnsi" w:cstheme="majorHAnsi"/>
          <w:color w:val="111111"/>
          <w:spacing w:val="6"/>
          <w:sz w:val="22"/>
          <w:szCs w:val="22"/>
          <w:shd w:val="clear" w:color="auto" w:fill="FFFFFF"/>
        </w:rPr>
        <w:t xml:space="preserve">by </w:t>
      </w:r>
      <w:r w:rsidRPr="00102C6C">
        <w:rPr>
          <w:rFonts w:asciiTheme="majorHAnsi" w:hAnsiTheme="majorHAnsi" w:cstheme="majorHAnsi"/>
          <w:color w:val="111111"/>
          <w:spacing w:val="6"/>
          <w:sz w:val="22"/>
          <w:szCs w:val="22"/>
          <w:shd w:val="clear" w:color="auto" w:fill="FFFFFF"/>
        </w:rPr>
        <w:t>join the patient participation group please follow the link.</w:t>
      </w:r>
      <w:r w:rsidRPr="00102C6C">
        <w:rPr>
          <w:rFonts w:asciiTheme="majorHAnsi" w:hAnsiTheme="majorHAnsi" w:cstheme="majorHAnsi"/>
          <w:sz w:val="22"/>
          <w:szCs w:val="22"/>
        </w:rPr>
        <w:t xml:space="preserve"> Please note although the Hill Surgery Action attend PPG meetings this group is not our official patient participation group.</w:t>
      </w: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6349E3">
      <w:pPr>
        <w:rPr>
          <w:rFonts w:asciiTheme="majorHAnsi" w:hAnsiTheme="majorHAnsi" w:cstheme="majorHAnsi"/>
          <w:sz w:val="22"/>
          <w:szCs w:val="22"/>
        </w:rPr>
      </w:pPr>
      <w:hyperlink r:id="rId7" w:history="1">
        <w:r w:rsidR="00102C6C" w:rsidRPr="00102C6C">
          <w:rPr>
            <w:rStyle w:val="Hyperlink"/>
            <w:rFonts w:asciiTheme="majorHAnsi" w:hAnsiTheme="majorHAnsi" w:cstheme="majorHAnsi"/>
            <w:sz w:val="22"/>
            <w:szCs w:val="22"/>
          </w:rPr>
          <w:t>About our PPG – The Hill Surgery (beaconsfieldroadsurgery.co.uk)</w:t>
        </w:r>
      </w:hyperlink>
    </w:p>
    <w:p w:rsidR="00102C6C" w:rsidRPr="00102C6C" w:rsidRDefault="00102C6C">
      <w:pPr>
        <w:rPr>
          <w:rFonts w:asciiTheme="majorHAnsi" w:hAnsiTheme="majorHAnsi" w:cstheme="majorHAnsi"/>
          <w:sz w:val="22"/>
          <w:szCs w:val="22"/>
        </w:rPr>
      </w:pP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102C6C">
      <w:pPr>
        <w:rPr>
          <w:rFonts w:asciiTheme="majorHAnsi" w:hAnsiTheme="majorHAnsi" w:cstheme="majorHAnsi"/>
          <w:color w:val="111111"/>
          <w:spacing w:val="6"/>
          <w:sz w:val="22"/>
          <w:szCs w:val="22"/>
          <w:shd w:val="clear" w:color="auto" w:fill="FFFFFF"/>
        </w:rPr>
      </w:pPr>
      <w:r w:rsidRPr="00102C6C">
        <w:rPr>
          <w:rFonts w:asciiTheme="majorHAnsi" w:hAnsiTheme="majorHAnsi" w:cstheme="majorHAnsi"/>
          <w:color w:val="111111"/>
          <w:spacing w:val="6"/>
          <w:sz w:val="22"/>
          <w:szCs w:val="22"/>
          <w:shd w:val="clear" w:color="auto" w:fill="FFFFFF"/>
        </w:rPr>
        <w:t xml:space="preserve">You can also support us by supporting the </w:t>
      </w:r>
      <w:r>
        <w:rPr>
          <w:rFonts w:asciiTheme="majorHAnsi" w:hAnsiTheme="majorHAnsi" w:cstheme="majorHAnsi"/>
          <w:color w:val="111111"/>
          <w:spacing w:val="6"/>
          <w:sz w:val="22"/>
          <w:szCs w:val="22"/>
          <w:shd w:val="clear" w:color="auto" w:fill="FFFFFF"/>
        </w:rPr>
        <w:t>‘</w:t>
      </w:r>
      <w:r w:rsidRPr="00102C6C">
        <w:rPr>
          <w:rFonts w:asciiTheme="majorHAnsi" w:hAnsiTheme="majorHAnsi" w:cstheme="majorHAnsi"/>
          <w:color w:val="111111"/>
          <w:spacing w:val="6"/>
          <w:sz w:val="22"/>
          <w:szCs w:val="22"/>
          <w:shd w:val="clear" w:color="auto" w:fill="FFFFFF"/>
        </w:rPr>
        <w:t xml:space="preserve">Fit for the future’ Royal </w:t>
      </w:r>
      <w:proofErr w:type="gramStart"/>
      <w:r w:rsidRPr="00102C6C">
        <w:rPr>
          <w:rFonts w:asciiTheme="majorHAnsi" w:hAnsiTheme="majorHAnsi" w:cstheme="majorHAnsi"/>
          <w:color w:val="111111"/>
          <w:spacing w:val="6"/>
          <w:sz w:val="22"/>
          <w:szCs w:val="22"/>
          <w:shd w:val="clear" w:color="auto" w:fill="FFFFFF"/>
        </w:rPr>
        <w:t>college</w:t>
      </w:r>
      <w:proofErr w:type="gramEnd"/>
      <w:r w:rsidRPr="00102C6C">
        <w:rPr>
          <w:rFonts w:asciiTheme="majorHAnsi" w:hAnsiTheme="majorHAnsi" w:cstheme="majorHAnsi"/>
          <w:color w:val="111111"/>
          <w:spacing w:val="6"/>
          <w:sz w:val="22"/>
          <w:szCs w:val="22"/>
          <w:shd w:val="clear" w:color="auto" w:fill="FFFFFF"/>
        </w:rPr>
        <w:t xml:space="preserve"> of GP campaign. Find more information bellow.</w:t>
      </w:r>
    </w:p>
    <w:p w:rsidR="00102C6C" w:rsidRPr="00102C6C" w:rsidRDefault="00102C6C">
      <w:pPr>
        <w:rPr>
          <w:rFonts w:asciiTheme="majorHAnsi" w:hAnsiTheme="majorHAnsi" w:cstheme="majorHAnsi"/>
          <w:color w:val="111111"/>
          <w:spacing w:val="6"/>
          <w:sz w:val="22"/>
          <w:szCs w:val="22"/>
          <w:shd w:val="clear" w:color="auto" w:fill="FFFFFF"/>
        </w:rPr>
      </w:pPr>
    </w:p>
    <w:p w:rsidR="00102C6C" w:rsidRPr="00102C6C" w:rsidRDefault="006349E3">
      <w:pPr>
        <w:rPr>
          <w:rFonts w:asciiTheme="majorHAnsi" w:hAnsiTheme="majorHAnsi" w:cstheme="majorHAnsi"/>
          <w:color w:val="111111"/>
          <w:spacing w:val="6"/>
          <w:sz w:val="22"/>
          <w:szCs w:val="22"/>
          <w:shd w:val="clear" w:color="auto" w:fill="FFFFFF"/>
        </w:rPr>
      </w:pPr>
      <w:hyperlink r:id="rId8" w:history="1">
        <w:r w:rsidR="00102C6C" w:rsidRPr="00102C6C">
          <w:rPr>
            <w:rStyle w:val="Hyperlink"/>
            <w:rFonts w:asciiTheme="majorHAnsi" w:hAnsiTheme="majorHAnsi" w:cstheme="majorHAnsi"/>
            <w:sz w:val="22"/>
            <w:szCs w:val="22"/>
          </w:rPr>
          <w:t>Future of general practice (rcgp.org.uk)</w:t>
        </w:r>
      </w:hyperlink>
    </w:p>
    <w:p w:rsidR="00102C6C" w:rsidRDefault="00102C6C" w:rsidP="00102C6C">
      <w:pPr>
        <w:rPr>
          <w:rFonts w:ascii="Arial" w:hAnsi="Arial" w:cs="Arial"/>
          <w:color w:val="111111"/>
          <w:spacing w:val="6"/>
          <w:sz w:val="22"/>
          <w:szCs w:val="22"/>
          <w:shd w:val="clear" w:color="auto" w:fill="FFFFFF"/>
        </w:rPr>
      </w:pPr>
    </w:p>
    <w:p w:rsidR="00102C6C" w:rsidRDefault="00102C6C" w:rsidP="00102C6C">
      <w:pPr>
        <w:rPr>
          <w:noProof/>
          <w:lang w:eastAsia="en-GB"/>
        </w:rPr>
      </w:pPr>
    </w:p>
    <w:p w:rsidR="00102C6C" w:rsidRPr="00102C6C" w:rsidRDefault="00102C6C" w:rsidP="00102C6C">
      <w:pPr>
        <w:rPr>
          <w:rFonts w:ascii="Arial" w:hAnsi="Arial" w:cs="Arial"/>
          <w:sz w:val="22"/>
          <w:szCs w:val="22"/>
        </w:rPr>
      </w:pPr>
      <w:r>
        <w:rPr>
          <w:noProof/>
          <w:lang w:eastAsia="en-GB"/>
        </w:rPr>
        <w:drawing>
          <wp:inline distT="0" distB="0" distL="0" distR="0" wp14:anchorId="6A1D7753" wp14:editId="5908C242">
            <wp:extent cx="2419350" cy="277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78" t="10738" r="30719"/>
                    <a:stretch/>
                  </pic:blipFill>
                  <pic:spPr bwMode="auto">
                    <a:xfrm>
                      <a:off x="0" y="0"/>
                      <a:ext cx="2419350" cy="2771140"/>
                    </a:xfrm>
                    <a:prstGeom prst="rect">
                      <a:avLst/>
                    </a:prstGeom>
                    <a:ln>
                      <a:noFill/>
                    </a:ln>
                    <a:extLst>
                      <a:ext uri="{53640926-AAD7-44D8-BBD7-CCE9431645EC}">
                        <a14:shadowObscured xmlns:a14="http://schemas.microsoft.com/office/drawing/2010/main"/>
                      </a:ext>
                    </a:extLst>
                  </pic:spPr>
                </pic:pic>
              </a:graphicData>
            </a:graphic>
          </wp:inline>
        </w:drawing>
      </w:r>
    </w:p>
    <w:sectPr w:rsidR="00102C6C" w:rsidRPr="00102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726C"/>
    <w:multiLevelType w:val="hybridMultilevel"/>
    <w:tmpl w:val="BFAE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6C"/>
    <w:rsid w:val="00102C6C"/>
    <w:rsid w:val="002B17AD"/>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0285"/>
  <w15:chartTrackingRefBased/>
  <w15:docId w15:val="{D391D19F-2CD2-4BCA-BA61-B498A7E4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semiHidden/>
    <w:unhideWhenUsed/>
    <w:rsid w:val="00102C6C"/>
    <w:rPr>
      <w:color w:val="0000FF"/>
      <w:u w:val="single"/>
    </w:rPr>
  </w:style>
  <w:style w:type="table" w:styleId="TableGrid">
    <w:name w:val="Table Grid"/>
    <w:basedOn w:val="TableNormal"/>
    <w:uiPriority w:val="59"/>
    <w:rsid w:val="0010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8892">
      <w:bodyDiv w:val="1"/>
      <w:marLeft w:val="0"/>
      <w:marRight w:val="0"/>
      <w:marTop w:val="0"/>
      <w:marBottom w:val="0"/>
      <w:divBdr>
        <w:top w:val="none" w:sz="0" w:space="0" w:color="auto"/>
        <w:left w:val="none" w:sz="0" w:space="0" w:color="auto"/>
        <w:bottom w:val="none" w:sz="0" w:space="0" w:color="auto"/>
        <w:right w:val="none" w:sz="0" w:space="0" w:color="auto"/>
      </w:divBdr>
      <w:divsChild>
        <w:div w:id="8650883">
          <w:marLeft w:val="0"/>
          <w:marRight w:val="0"/>
          <w:marTop w:val="0"/>
          <w:marBottom w:val="0"/>
          <w:divBdr>
            <w:top w:val="none" w:sz="0" w:space="0" w:color="auto"/>
            <w:left w:val="none" w:sz="0" w:space="0" w:color="auto"/>
            <w:bottom w:val="none" w:sz="0" w:space="0" w:color="auto"/>
            <w:right w:val="none" w:sz="0" w:space="0" w:color="auto"/>
          </w:divBdr>
        </w:div>
      </w:divsChild>
    </w:div>
    <w:div w:id="90167347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79">
          <w:marLeft w:val="0"/>
          <w:marRight w:val="0"/>
          <w:marTop w:val="0"/>
          <w:marBottom w:val="0"/>
          <w:divBdr>
            <w:top w:val="none" w:sz="0" w:space="0" w:color="auto"/>
            <w:left w:val="none" w:sz="0" w:space="0" w:color="auto"/>
            <w:bottom w:val="none" w:sz="0" w:space="0" w:color="auto"/>
            <w:right w:val="none" w:sz="0" w:space="0" w:color="auto"/>
          </w:divBdr>
        </w:div>
      </w:divsChild>
    </w:div>
    <w:div w:id="1473405588">
      <w:bodyDiv w:val="1"/>
      <w:marLeft w:val="0"/>
      <w:marRight w:val="0"/>
      <w:marTop w:val="0"/>
      <w:marBottom w:val="0"/>
      <w:divBdr>
        <w:top w:val="none" w:sz="0" w:space="0" w:color="auto"/>
        <w:left w:val="none" w:sz="0" w:space="0" w:color="auto"/>
        <w:bottom w:val="none" w:sz="0" w:space="0" w:color="auto"/>
        <w:right w:val="none" w:sz="0" w:space="0" w:color="auto"/>
      </w:divBdr>
      <w:divsChild>
        <w:div w:id="50759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representing-you/future-of-general-practice" TargetMode="External"/><Relationship Id="rId3" Type="http://schemas.openxmlformats.org/officeDocument/2006/relationships/settings" Target="settings.xml"/><Relationship Id="rId7" Type="http://schemas.openxmlformats.org/officeDocument/2006/relationships/hyperlink" Target="https://www.beaconsfieldroadsurgery.co.uk/patient-group/about-our-p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files.digital.nhs.uk%2F51%2FCA5DE0%2FGPAD_Annex1_Practice_Level_Breakdown_Summary_February_2024.xlsx&amp;wdOrigin=BROWSELI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 Naomi (Harold Road Surgery)</dc:creator>
  <cp:keywords/>
  <dc:description/>
  <cp:lastModifiedBy>Holloway Julie (The Hill Surgery)</cp:lastModifiedBy>
  <cp:revision>2</cp:revision>
  <dcterms:created xsi:type="dcterms:W3CDTF">2024-04-12T17:33:00Z</dcterms:created>
  <dcterms:modified xsi:type="dcterms:W3CDTF">2024-04-12T17:33:00Z</dcterms:modified>
</cp:coreProperties>
</file>